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F74D3" w:rsidRDefault="004F74D3">
      <w:pPr>
        <w:pStyle w:val="ConsPlusNormal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Документ предоставлен </w:t>
      </w:r>
      <w:hyperlink r:id="rId4" w:history="1">
        <w:r>
          <w:rPr>
            <w:rFonts w:ascii="Tahoma" w:hAnsi="Tahoma" w:cs="Tahoma"/>
            <w:color w:val="0000FF"/>
            <w:sz w:val="20"/>
            <w:szCs w:val="20"/>
          </w:rPr>
          <w:t>КонсультантПлюс</w:t>
        </w:r>
      </w:hyperlink>
      <w:r>
        <w:rPr>
          <w:rFonts w:ascii="Tahoma" w:hAnsi="Tahoma" w:cs="Tahoma"/>
          <w:sz w:val="20"/>
          <w:szCs w:val="20"/>
        </w:rPr>
        <w:br/>
      </w:r>
    </w:p>
    <w:p w:rsidR="004F74D3" w:rsidRDefault="004F74D3">
      <w:pPr>
        <w:pStyle w:val="ConsPlusNormal"/>
        <w:jc w:val="both"/>
        <w:outlineLvl w:val="0"/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7"/>
        <w:gridCol w:w="4678"/>
      </w:tblGrid>
      <w:tr w:rsidR="004F74D3">
        <w:tc>
          <w:tcPr>
            <w:tcW w:w="4677" w:type="dxa"/>
          </w:tcPr>
          <w:p w:rsidR="004F74D3" w:rsidRDefault="004F74D3">
            <w:pPr>
              <w:pStyle w:val="ConsPlusNormal"/>
              <w:outlineLvl w:val="0"/>
            </w:pPr>
            <w:r>
              <w:t>19 октября 2021 года</w:t>
            </w:r>
          </w:p>
        </w:tc>
        <w:tc>
          <w:tcPr>
            <w:tcW w:w="4677" w:type="dxa"/>
          </w:tcPr>
          <w:p w:rsidR="004F74D3" w:rsidRDefault="004F74D3">
            <w:pPr>
              <w:pStyle w:val="ConsPlusNormal"/>
              <w:jc w:val="right"/>
              <w:outlineLvl w:val="0"/>
            </w:pPr>
            <w:r>
              <w:t>N 186</w:t>
            </w:r>
          </w:p>
        </w:tc>
      </w:tr>
    </w:tbl>
    <w:p w:rsidR="004F74D3" w:rsidRDefault="004F74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F74D3" w:rsidRDefault="004F74D3">
      <w:pPr>
        <w:pStyle w:val="ConsPlusNormal"/>
        <w:jc w:val="both"/>
      </w:pPr>
    </w:p>
    <w:p w:rsidR="004F74D3" w:rsidRDefault="004F74D3">
      <w:pPr>
        <w:pStyle w:val="ConsPlusNormal"/>
        <w:jc w:val="center"/>
        <w:rPr>
          <w:b/>
          <w:bCs/>
        </w:rPr>
      </w:pPr>
      <w:r>
        <w:rPr>
          <w:b/>
          <w:bCs/>
        </w:rPr>
        <w:t>УКАЗ</w:t>
      </w:r>
    </w:p>
    <w:p w:rsidR="004F74D3" w:rsidRDefault="004F74D3">
      <w:pPr>
        <w:pStyle w:val="ConsPlusNormal"/>
        <w:jc w:val="center"/>
        <w:rPr>
          <w:b/>
          <w:bCs/>
        </w:rPr>
      </w:pPr>
    </w:p>
    <w:p w:rsidR="004F74D3" w:rsidRDefault="004F74D3">
      <w:pPr>
        <w:pStyle w:val="ConsPlusNormal"/>
        <w:jc w:val="center"/>
        <w:rPr>
          <w:b/>
          <w:bCs/>
        </w:rPr>
      </w:pPr>
      <w:r>
        <w:rPr>
          <w:b/>
          <w:bCs/>
        </w:rPr>
        <w:t>ГЛАВЫ РЕСПУБЛИКИ ДАГЕСТАН</w:t>
      </w:r>
    </w:p>
    <w:p w:rsidR="004F74D3" w:rsidRDefault="004F74D3">
      <w:pPr>
        <w:pStyle w:val="ConsPlusNormal"/>
        <w:jc w:val="center"/>
        <w:rPr>
          <w:b/>
          <w:bCs/>
        </w:rPr>
      </w:pPr>
    </w:p>
    <w:p w:rsidR="004F74D3" w:rsidRDefault="004F74D3">
      <w:pPr>
        <w:pStyle w:val="ConsPlusNormal"/>
        <w:jc w:val="center"/>
        <w:rPr>
          <w:b/>
          <w:bCs/>
        </w:rPr>
      </w:pPr>
      <w:r>
        <w:rPr>
          <w:b/>
          <w:bCs/>
        </w:rPr>
        <w:t>О ТРЕБОВАНИЯХ К РАЗМЕЩЕНИЮ И НАПОЛНЕНИЮ ПОДРАЗДЕЛОВ,</w:t>
      </w:r>
    </w:p>
    <w:p w:rsidR="004F74D3" w:rsidRDefault="004F74D3">
      <w:pPr>
        <w:pStyle w:val="ConsPlusNormal"/>
        <w:jc w:val="center"/>
        <w:rPr>
          <w:b/>
          <w:bCs/>
        </w:rPr>
      </w:pPr>
      <w:r>
        <w:rPr>
          <w:b/>
          <w:bCs/>
        </w:rPr>
        <w:t>ПОСВЯЩЕННЫХ ВОПРОСАМ ПРОТИВОДЕЙСТВИЯ КОРРУПЦИИ, ОФИЦИАЛЬНЫХ</w:t>
      </w:r>
    </w:p>
    <w:p w:rsidR="004F74D3" w:rsidRDefault="004F74D3">
      <w:pPr>
        <w:pStyle w:val="ConsPlusNormal"/>
        <w:jc w:val="center"/>
        <w:rPr>
          <w:b/>
          <w:bCs/>
        </w:rPr>
      </w:pPr>
      <w:r>
        <w:rPr>
          <w:b/>
          <w:bCs/>
        </w:rPr>
        <w:t>САЙТОВ ОРГАНОВ ИСПОЛНИТЕЛЬНОЙ ВЛАСТИ РЕСПУБЛИКИ ДАГЕСТАН</w:t>
      </w:r>
    </w:p>
    <w:p w:rsidR="004F74D3" w:rsidRDefault="004F74D3">
      <w:pPr>
        <w:pStyle w:val="ConsPlusNormal"/>
        <w:jc w:val="both"/>
      </w:pPr>
    </w:p>
    <w:p w:rsidR="004F74D3" w:rsidRDefault="004F74D3">
      <w:pPr>
        <w:pStyle w:val="ConsPlusNormal"/>
        <w:ind w:firstLine="540"/>
        <w:jc w:val="both"/>
      </w:pPr>
      <w:r>
        <w:t>В целях обеспечения единого подхода к организации и проведению работы по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 и для повышения открытости и доступности информации о деятельности по профилактике коррупционных правонарушений постановляю: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 xml:space="preserve">1. Утвердить прилагаемые </w:t>
      </w:r>
      <w:hyperlink w:anchor="Par34" w:history="1">
        <w:r>
          <w:rPr>
            <w:color w:val="0000FF"/>
          </w:rPr>
          <w:t>требования</w:t>
        </w:r>
      </w:hyperlink>
      <w:r>
        <w:t xml:space="preserve"> к размещению и наполнению подразделов, посвященных вопросам противодействия коррупции, официальных сайтов органов исполнительной власти Республики Дагестан (далее - требования).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2. Рекомендовать органам местного самоуправления муниципальных районов и городских округов Республики Дагестан руководствоваться требованиями, утвержденными настоящим Указом.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 xml:space="preserve">3. Признать утратившим силу </w:t>
      </w:r>
      <w:hyperlink r:id="rId5" w:history="1">
        <w:r>
          <w:rPr>
            <w:color w:val="0000FF"/>
          </w:rPr>
          <w:t>подпункт "з" пункта 2</w:t>
        </w:r>
      </w:hyperlink>
      <w:r>
        <w:t xml:space="preserve"> Плана противодействия коррупции в Республике Дагестан на 2012 - 2013 годы, утвержденного Указом Президента Республики Дагестан от 28 апреля 2012 г. N 73 "О Плане противодействия коррупции в Республике Дагестан на 2012 - 2013 годы и внесении изменений в некоторые акты Президента Республики Дагестан по вопросам противодействия коррупции" (Собрание законодательства Республики Дагестан, 2012, N 8, ст. 298).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4. Настоящий Указ вступает в силу со дня его подписания.</w:t>
      </w:r>
    </w:p>
    <w:p w:rsidR="004F74D3" w:rsidRDefault="004F74D3">
      <w:pPr>
        <w:pStyle w:val="ConsPlusNormal"/>
        <w:jc w:val="both"/>
      </w:pPr>
    </w:p>
    <w:p w:rsidR="004F74D3" w:rsidRDefault="004F74D3">
      <w:pPr>
        <w:pStyle w:val="ConsPlusNormal"/>
        <w:jc w:val="right"/>
      </w:pPr>
      <w:r>
        <w:t>Глава</w:t>
      </w:r>
    </w:p>
    <w:p w:rsidR="004F74D3" w:rsidRDefault="004F74D3">
      <w:pPr>
        <w:pStyle w:val="ConsPlusNormal"/>
        <w:jc w:val="right"/>
      </w:pPr>
      <w:r>
        <w:t>Республики Дагестан</w:t>
      </w:r>
    </w:p>
    <w:p w:rsidR="004F74D3" w:rsidRDefault="004F74D3">
      <w:pPr>
        <w:pStyle w:val="ConsPlusNormal"/>
        <w:jc w:val="right"/>
      </w:pPr>
      <w:r>
        <w:t>С.МЕЛИКОВ</w:t>
      </w:r>
    </w:p>
    <w:p w:rsidR="004F74D3" w:rsidRDefault="004F74D3">
      <w:pPr>
        <w:pStyle w:val="ConsPlusNormal"/>
      </w:pPr>
      <w:r>
        <w:t>Махачкала</w:t>
      </w:r>
    </w:p>
    <w:p w:rsidR="004F74D3" w:rsidRDefault="004F74D3">
      <w:pPr>
        <w:pStyle w:val="ConsPlusNormal"/>
        <w:spacing w:before="220"/>
      </w:pPr>
      <w:r>
        <w:t>19 октября 2021 года</w:t>
      </w:r>
    </w:p>
    <w:p w:rsidR="004F74D3" w:rsidRDefault="004F74D3">
      <w:pPr>
        <w:pStyle w:val="ConsPlusNormal"/>
        <w:spacing w:before="220"/>
      </w:pPr>
      <w:r>
        <w:t>N 186</w:t>
      </w:r>
    </w:p>
    <w:p w:rsidR="004F74D3" w:rsidRDefault="004F74D3">
      <w:pPr>
        <w:pStyle w:val="ConsPlusNormal"/>
        <w:jc w:val="both"/>
      </w:pPr>
    </w:p>
    <w:p w:rsidR="004F74D3" w:rsidRDefault="004F74D3">
      <w:pPr>
        <w:pStyle w:val="ConsPlusNormal"/>
        <w:jc w:val="both"/>
      </w:pPr>
    </w:p>
    <w:p w:rsidR="004F74D3" w:rsidRDefault="004F74D3">
      <w:pPr>
        <w:pStyle w:val="ConsPlusNormal"/>
        <w:jc w:val="both"/>
      </w:pPr>
    </w:p>
    <w:p w:rsidR="004F74D3" w:rsidRDefault="004F74D3">
      <w:pPr>
        <w:pStyle w:val="ConsPlusNormal"/>
        <w:jc w:val="both"/>
      </w:pPr>
    </w:p>
    <w:p w:rsidR="004F74D3" w:rsidRDefault="004F74D3">
      <w:pPr>
        <w:pStyle w:val="ConsPlusNormal"/>
        <w:jc w:val="both"/>
      </w:pPr>
    </w:p>
    <w:p w:rsidR="004F74D3" w:rsidRDefault="004F74D3">
      <w:pPr>
        <w:pStyle w:val="ConsPlusNormal"/>
        <w:jc w:val="right"/>
        <w:outlineLvl w:val="0"/>
      </w:pPr>
      <w:r>
        <w:t>Утверждены</w:t>
      </w:r>
    </w:p>
    <w:p w:rsidR="004F74D3" w:rsidRDefault="004F74D3">
      <w:pPr>
        <w:pStyle w:val="ConsPlusNormal"/>
        <w:jc w:val="right"/>
      </w:pPr>
      <w:r>
        <w:t>Указом Главы</w:t>
      </w:r>
    </w:p>
    <w:p w:rsidR="004F74D3" w:rsidRDefault="004F74D3">
      <w:pPr>
        <w:pStyle w:val="ConsPlusNormal"/>
        <w:jc w:val="right"/>
      </w:pPr>
      <w:r>
        <w:t>Республики Дагестан</w:t>
      </w:r>
    </w:p>
    <w:p w:rsidR="004F74D3" w:rsidRDefault="004F74D3">
      <w:pPr>
        <w:pStyle w:val="ConsPlusNormal"/>
        <w:jc w:val="right"/>
      </w:pPr>
      <w:r>
        <w:t>от 19 октября 2021 г. N 186</w:t>
      </w:r>
    </w:p>
    <w:p w:rsidR="004F74D3" w:rsidRDefault="004F74D3">
      <w:pPr>
        <w:pStyle w:val="ConsPlusNormal"/>
        <w:jc w:val="both"/>
      </w:pPr>
    </w:p>
    <w:p w:rsidR="004F74D3" w:rsidRDefault="004F74D3">
      <w:pPr>
        <w:pStyle w:val="ConsPlusNormal"/>
        <w:jc w:val="center"/>
        <w:rPr>
          <w:b/>
          <w:bCs/>
        </w:rPr>
      </w:pPr>
      <w:bookmarkStart w:id="0" w:name="Par34"/>
      <w:bookmarkEnd w:id="0"/>
      <w:r>
        <w:rPr>
          <w:b/>
          <w:bCs/>
        </w:rPr>
        <w:t>ТРЕБОВАНИЯ</w:t>
      </w:r>
    </w:p>
    <w:p w:rsidR="004F74D3" w:rsidRDefault="004F74D3">
      <w:pPr>
        <w:pStyle w:val="ConsPlusNormal"/>
        <w:jc w:val="center"/>
        <w:rPr>
          <w:b/>
          <w:bCs/>
        </w:rPr>
      </w:pPr>
      <w:r>
        <w:rPr>
          <w:b/>
          <w:bCs/>
        </w:rPr>
        <w:lastRenderedPageBreak/>
        <w:t>К РАЗМЕЩЕНИЮ И НАПОЛНЕНИЮ ПОДРАЗДЕЛОВ, ПОСВЯЩЕННЫХ ВОПРОСАМ</w:t>
      </w:r>
    </w:p>
    <w:p w:rsidR="004F74D3" w:rsidRDefault="004F74D3">
      <w:pPr>
        <w:pStyle w:val="ConsPlusNormal"/>
        <w:jc w:val="center"/>
        <w:rPr>
          <w:b/>
          <w:bCs/>
        </w:rPr>
      </w:pPr>
      <w:r>
        <w:rPr>
          <w:b/>
          <w:bCs/>
        </w:rPr>
        <w:t>ПРОТИВОДЕЙСТВИЯ КОРРУПЦИИ, ОФИЦИАЛЬНЫХ САЙТОВ ОРГАНОВ</w:t>
      </w:r>
    </w:p>
    <w:p w:rsidR="004F74D3" w:rsidRDefault="004F74D3">
      <w:pPr>
        <w:pStyle w:val="ConsPlusNormal"/>
        <w:jc w:val="center"/>
        <w:rPr>
          <w:b/>
          <w:bCs/>
        </w:rPr>
      </w:pPr>
      <w:r>
        <w:rPr>
          <w:b/>
          <w:bCs/>
        </w:rPr>
        <w:t>ИСПОЛНИТЕЛЬНОЙ ВЛАСТИ РЕСПУБЛИКИ ДАГЕСТАН</w:t>
      </w:r>
    </w:p>
    <w:p w:rsidR="004F74D3" w:rsidRDefault="004F74D3">
      <w:pPr>
        <w:pStyle w:val="ConsPlusNormal"/>
        <w:jc w:val="both"/>
      </w:pPr>
    </w:p>
    <w:p w:rsidR="004F74D3" w:rsidRDefault="004F74D3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I. Общие положения</w:t>
      </w:r>
    </w:p>
    <w:p w:rsidR="004F74D3" w:rsidRDefault="004F74D3">
      <w:pPr>
        <w:pStyle w:val="ConsPlusNormal"/>
        <w:jc w:val="both"/>
      </w:pPr>
    </w:p>
    <w:p w:rsidR="004F74D3" w:rsidRDefault="004F74D3">
      <w:pPr>
        <w:pStyle w:val="ConsPlusNormal"/>
        <w:ind w:firstLine="540"/>
        <w:jc w:val="both"/>
      </w:pPr>
      <w:r>
        <w:t>1.1. Настоящие требования установлены в целях обеспечения открытости мер по противодействию коррупции, принимаемых органами исполнительной власти Республики Дагестан (далее - государственные органы).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1.2. Размещение и наполнение подразделов, посвященных вопросам противодействия коррупции, официальных сайтов государственных органов в информационно-телекоммуникационной сети "Интернет" (далее - сайт) осуществляется в соответствии с настоящими требованиями.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1.3. При наполнении подразделов, посвященных вопросам противодействия коррупции, сайтов информация, отнесенная к государственной тайне или являющаяся конфиденциальной, не размещается.</w:t>
      </w:r>
    </w:p>
    <w:p w:rsidR="004F74D3" w:rsidRDefault="004F74D3">
      <w:pPr>
        <w:pStyle w:val="ConsPlusNormal"/>
        <w:jc w:val="both"/>
      </w:pPr>
    </w:p>
    <w:p w:rsidR="004F74D3" w:rsidRDefault="004F74D3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II. Размещение подразделов, посвященных</w:t>
      </w:r>
    </w:p>
    <w:p w:rsidR="004F74D3" w:rsidRDefault="004F74D3">
      <w:pPr>
        <w:pStyle w:val="ConsPlusNormal"/>
        <w:jc w:val="center"/>
        <w:rPr>
          <w:b/>
          <w:bCs/>
        </w:rPr>
      </w:pPr>
      <w:r>
        <w:rPr>
          <w:b/>
          <w:bCs/>
        </w:rPr>
        <w:t>вопросам противодействия коррупции</w:t>
      </w:r>
    </w:p>
    <w:p w:rsidR="004F74D3" w:rsidRDefault="004F74D3">
      <w:pPr>
        <w:pStyle w:val="ConsPlusNormal"/>
        <w:jc w:val="both"/>
      </w:pPr>
    </w:p>
    <w:p w:rsidR="004F74D3" w:rsidRDefault="004F74D3">
      <w:pPr>
        <w:pStyle w:val="ConsPlusNormal"/>
        <w:ind w:firstLine="540"/>
        <w:jc w:val="both"/>
      </w:pPr>
      <w:r>
        <w:t>2.1. Отдельная гиперссылка на подраздел, посвященный вопросам противодействия коррупции (далее - раздел "Противодействие коррупции"), размещается на главной странице сайта. Размещение указанной гиперссылки в выпадающих окнах не допускается.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2.2. Доступ в раздел "Противодействие коррупции" осуществляется с главной страницы сайта путем последовательного перехода по гиперссылке. Количество таких переходов (по кратчайшей последовательности) должно быть не более одного, в том числе на мобильной версии сайта.</w:t>
      </w:r>
    </w:p>
    <w:p w:rsidR="004F74D3" w:rsidRDefault="004F74D3">
      <w:pPr>
        <w:pStyle w:val="ConsPlusNormal"/>
        <w:jc w:val="both"/>
      </w:pPr>
    </w:p>
    <w:p w:rsidR="004F74D3" w:rsidRDefault="004F74D3">
      <w:pPr>
        <w:pStyle w:val="ConsPlusNormal"/>
        <w:jc w:val="center"/>
        <w:outlineLvl w:val="1"/>
        <w:rPr>
          <w:b/>
          <w:bCs/>
        </w:rPr>
      </w:pPr>
      <w:r>
        <w:rPr>
          <w:b/>
          <w:bCs/>
        </w:rPr>
        <w:t>III. Требования к наполнению подразделов,</w:t>
      </w:r>
    </w:p>
    <w:p w:rsidR="004F74D3" w:rsidRDefault="004F74D3">
      <w:pPr>
        <w:pStyle w:val="ConsPlusNormal"/>
        <w:jc w:val="center"/>
        <w:rPr>
          <w:b/>
          <w:bCs/>
        </w:rPr>
      </w:pPr>
      <w:r>
        <w:rPr>
          <w:b/>
          <w:bCs/>
        </w:rPr>
        <w:t>посвященных вопросам противодействия коррупции</w:t>
      </w:r>
    </w:p>
    <w:p w:rsidR="004F74D3" w:rsidRDefault="004F74D3">
      <w:pPr>
        <w:pStyle w:val="ConsPlusNormal"/>
        <w:jc w:val="both"/>
      </w:pPr>
    </w:p>
    <w:p w:rsidR="004F74D3" w:rsidRDefault="004F74D3">
      <w:pPr>
        <w:pStyle w:val="ConsPlusNormal"/>
        <w:ind w:firstLine="540"/>
        <w:jc w:val="both"/>
      </w:pPr>
      <w:r>
        <w:t>3.1. В разделе "Противодействие коррупции" сайтов содержатся последовательные ссылки на следующие подразделы: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"Нормативные правовые и иные акты в сфере противодействия коррупции";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"Антикоррупционная экспертиза";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"Методические материалы";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"Формы документов, связанных с противодействием коррупции, для заполнения";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"Сведения о доходах, расходах, об имуществе и обязательствах имущественного характера";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"Комиссия по соблюдению требований к служебному поведению и урегулированию конфликта интересов";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"Обратная связь для сообщений о фактах коррупции".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3.2. Раздел "Противодействие коррупции" может содержать иные подразделы, в которых размещаются доклады, отчеты, обзоры, статистическая информация по вопросам противодействия коррупции, часто задаваемые вопросы, размещение которых будет признано целесообразным руководителем государственного органа.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lastRenderedPageBreak/>
        <w:t>3.3. Подраздел "Нормативные правовые и иные акты в сфере противодействия коррупции" содержит: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а) список гиперссылок действующих федеральных законов, указов Президента Российской Федерации, постановлений Правительства Российской Федерации и иных нормативных правовых актов по вопросам противодействия коррупции для последовательного перехода на официальный интернет-портал правовой информации (www.pravo.gov.ru). Список гиперссылок должен быть структурирован по видам нормативных правовых актов: федеральные законы, указы Президента Российской Федерации, постановления Правительства Российской Федерации, иные нормативные правовые акты;</w:t>
      </w:r>
    </w:p>
    <w:p w:rsidR="004F74D3" w:rsidRDefault="004F74D3">
      <w:pPr>
        <w:pStyle w:val="ConsPlusNormal"/>
        <w:spacing w:before="220"/>
        <w:ind w:firstLine="540"/>
        <w:jc w:val="both"/>
      </w:pPr>
      <w:bookmarkStart w:id="1" w:name="Par65"/>
      <w:bookmarkEnd w:id="1"/>
      <w:r>
        <w:t>б) список гиперссылок законов Республики Дагестан, указов Главы Республики Дагестан (Президента Республики Дагестан), постановлений Правительства Республики Дагестан и иных нормативных правовых актов Республики Дагестан по вопросам противодействия коррупции для последовательного перехода на интернет-портал правовой информации Республики Дагестан (www.pravo.e-dag.ru). Список гиперссылок должен быть структурирован по видам нормативных правовых актов: законы Республики Дагестан, указы Главы Республики Дагестан (Президента Республики Дагестан), постановления Правительства Республики Дагестан, иные нормативные правовые акты;</w:t>
      </w:r>
    </w:p>
    <w:p w:rsidR="004F74D3" w:rsidRDefault="004F74D3">
      <w:pPr>
        <w:pStyle w:val="ConsPlusNormal"/>
        <w:spacing w:before="220"/>
        <w:ind w:firstLine="540"/>
        <w:jc w:val="both"/>
      </w:pPr>
      <w:bookmarkStart w:id="2" w:name="Par66"/>
      <w:bookmarkEnd w:id="2"/>
      <w:r>
        <w:t>в) список гиперссылок нормативных правовых актов и иных актов государственного органа (локальных нормативных актов) по вопросам противодействия коррупции с приложением файлов, содержащих полный текст акта: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план (программа) по противодействию коррупции;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 xml:space="preserve">перечень должностей, при замещении которых государственные гражданские служащие государственного органа (далее - служащие) обязаны представлять сведения о своих доходах,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детей, утвержденный в соответствии с </w:t>
      </w:r>
      <w:hyperlink r:id="rId6" w:history="1">
        <w:r>
          <w:rPr>
            <w:color w:val="0000FF"/>
          </w:rPr>
          <w:t>разделом 2</w:t>
        </w:r>
      </w:hyperlink>
      <w:r>
        <w:t xml:space="preserve"> перечня должностей государственной гражданской службы Республики Дагестан, при замещении которых государственные гражданские служащие Республики Дагестан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утвержденного Указом Президента Республики Дагестан от 23 июля 2009 г. N 163;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порядок представления сведений о доходах, расходах, об имуществе и обязательствах имущественного характера;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порядок уведомления представителя нанимателя (работодателя) о фактах обращения в целях склонения служащего к совершению коррупционных правонарушений;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положение о подразделении по профилактике коррупционных и иных правонарушений (при наличии);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порядок сообщения о получении лицами, замещающими государственные должности Республики Дагестан, и служащими подарка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обязанностей, его сдачи, оценки и реализации (выкупа);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 xml:space="preserve">перечень должностей, при замещении которых служащим запрещается открывать и иметь счета (вклады), хранить наличные денежные средства и ценности в иностранных банках, расположенных за пределами территории Российской Федерации, владеть и (или) пользоваться </w:t>
      </w:r>
      <w:r>
        <w:lastRenderedPageBreak/>
        <w:t>иностранными финансовыми инструментами;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кодекс этики и служебного поведения служащих;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иные нормативные акты (локальные нормативные акты) по вопросам противодействия коррупции, размещение которых будет признано целесообразным.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 xml:space="preserve">3.4. Нормативные правовые и иные акты в сфере противодействия коррупции (далее - нормативные и иные акты), указанные в </w:t>
      </w:r>
      <w:hyperlink w:anchor="Par65" w:history="1">
        <w:r>
          <w:rPr>
            <w:color w:val="0000FF"/>
          </w:rPr>
          <w:t>подпунктах "б"</w:t>
        </w:r>
      </w:hyperlink>
      <w:r>
        <w:t xml:space="preserve"> и </w:t>
      </w:r>
      <w:hyperlink w:anchor="Par66" w:history="1">
        <w:r>
          <w:rPr>
            <w:color w:val="0000FF"/>
          </w:rPr>
          <w:t>"в" пункта 3.3</w:t>
        </w:r>
      </w:hyperlink>
      <w:r>
        <w:t xml:space="preserve"> настоящих требований, размещаются в виде текста в формате (в одном или нескольких из следующих форматов: .DOC, .DOCX, .RTF, .PDF), обеспечивающем возможность поиска и копирования фрагментов текста средствами веб-обозревателя (гипертекстовый формат). Нормативные и иные акты могут дополнительно размещаться в графическом формате в виде графических образов их оригиналов (графический формат).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Размещение нормативных и иных актов в иных форматах, а также в виде сканированных документов, требующих дополнительного распознавания, не допускается.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Гиперссылки нормативных и иных актов должны содержать полные реквизиты акта, в том числе наименование органа, принявшего акт, дату принятия, номер, название, а также дату и номер регистрации в Министерстве юстиции Республики Дагестан (при наличии).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Нормативные и иные акты должны размещаться в действующей редакции.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3.5. Подраздел "Антикоррупционная экспертиза" содержит гиперссылку, перекрестную с гиперссылкой, при переходе по которой осуществляется доступ к официальному сайту, созданному для размещения информации о подготовке государственным органом проектов нормативных правовых актов и результатах их общественного обсуждения.</w:t>
      </w:r>
    </w:p>
    <w:p w:rsidR="004F74D3" w:rsidRDefault="004F74D3">
      <w:pPr>
        <w:pStyle w:val="ConsPlusNormal"/>
        <w:spacing w:before="220"/>
        <w:ind w:firstLine="540"/>
        <w:jc w:val="both"/>
      </w:pPr>
      <w:bookmarkStart w:id="3" w:name="Par81"/>
      <w:bookmarkEnd w:id="3"/>
      <w:r>
        <w:t>3.6. Подраздел "Методические материалы" содержит методические рекомендации, обзоры, иные документы методического характера по вопросам противодействия коррупции.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В данном подразделе размещаются как методические материалы по вопросам противодействия коррупции, самостоятельно разработанные государственными органами, так и гиперссылки для последовательного перехода к методическим материалам, одобренным президиумом Совета при Президенте Российской Федерации по противодействию коррупции, методическим рекомендациям, обзорам, разъяснениям и иным документам, в том числе подготовленным Министерством труда и социальной защиты Российской Федерации, размещенным на официальном сайте Министерства труда и социальной защиты Российской Федерации, а также на специализированном информационно-методическом ресурсе по вопросам противодействия коррупции на базе федеральной государственной информационной системы "Единая информационная система управления кадровым составом государственной гражданской службы Российской Федерации" (https://gossluzhba.gov.ru/anticorruption).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 xml:space="preserve">3.7. Методические рекомендации, обзоры, иные документы методического характера по вопросам противодействия коррупции, указанные в </w:t>
      </w:r>
      <w:hyperlink w:anchor="Par81" w:history="1">
        <w:r>
          <w:rPr>
            <w:color w:val="0000FF"/>
          </w:rPr>
          <w:t>пункте 3.6</w:t>
        </w:r>
      </w:hyperlink>
      <w:r>
        <w:t xml:space="preserve"> настоящих требований, размещаются в виде текста в формате (в одном или нескольких из следующих форматов: .DOC, .DOCX, .RTF, .PDF, .РРТ, .РРТХ), обеспечивающем возможность поиска и копирования фрагментов текста средствами веб-обозревателя (гипертекстовый формат).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 xml:space="preserve">3.8. Подраздел "Формы документов, связанных с противодействием коррупции, для заполнения" обеспечивает доступ к списку гиперссылок форм обращений, уведомлений, заявлений, справки о доходах, расходах, об имуществе и обязательствах имущественного характера, заполняемых гражданами, лицами, замещающими государственные должности </w:t>
      </w:r>
      <w:r>
        <w:lastRenderedPageBreak/>
        <w:t>Республики Дагестан, служащими в рамках реализации законодательства о противодействии коррупции: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а) обращение гражданина, юридического лица по фактам коррупционных правонарушений;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б) обращение гражданина, замещавшего в государственном органе должности государственной гражданской службы, перечень которых устанавливается нормативными правовыми актами Республики Дагестан, о даче согласия на замещение должности в коммерческой или некоммерческой организации либо на выполнение работы на условиях гражданско-правового договора в коммерческой или некоммерческой организации, если отдельные функции по государственному управлению этой организацией входили в его должностные (служебные) обязанности, до истечения двух лет со дня увольнения с государственной гражданской службы Республики Дагестан;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в) уведомление представителя нанимателя (работодателя) о намерении выполнять иную оплачиваемую работу;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г) уведомление представителя нанимателя (работодателя) о фактах обращения в целях склонения служащего к совершению коррупционных правонарушений;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д) уведомление представителя нанимателя (работодателя) и своего непосредственного начальника о возникшем конфликте интересов или о возможности его возникновения;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е) заявление служащего о невозможности по объективным причинам представить сведения о доходах, об имуществе и обязательствах имущественного характера своих супруги (супруга) и несовершеннолетних детей;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ж) справка о доходах, расходах, об имуществе и обязательствах имущественного характера;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з) уведомление о получении подарка;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и) заявление о выкупе подарка;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к) иные формы документов, связанные с противодействием коррупции, для заполнения, размещение которых будет признано целесообразным.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Также данный подраздел должен содержать гиперссылку, перекрестную с гиперссылкой, при переходе по которой осуществляется доступ к специальному программному обеспечению "Справки БК", размещенному на официальном сайте Президента Российской Федерации или на официальном сайте государственной информационной системы в области государственной службы в информационно-телекоммуникационной сети "Интернет".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3.9. Формы документов, связанных с противодействием коррупции, для заполнения размещаются в виде электронной формы с возможностью заполнения соответствующих полей и последующей выгрузки в файл в одном или нескольких из следующих форматов: .DOC, .DOCX, .RTF, .PDF или в виде приложенных файлов в одном или нескольких из следующих форматов: .DOC, .DOCX, .RTF, .PDF. Размещение в иных форматах, а также в виде сканированных документов, требующих дополнительного распознавания, не допускается.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 xml:space="preserve">3.10. Подраздел "Сведения о доходах, расходах, об имуществе и обязательствах имущественного характера" обеспечивает доступ к сведениям о доходах, расходах, об имуществе и обязательствах имущественного характера, предусмотренных </w:t>
      </w:r>
      <w:hyperlink r:id="rId7" w:history="1">
        <w:r>
          <w:rPr>
            <w:color w:val="0000FF"/>
          </w:rPr>
          <w:t>пунктом 2</w:t>
        </w:r>
      </w:hyperlink>
      <w:r>
        <w:t xml:space="preserve"> порядка размещения сведений о доходах, расходах,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органов, органов государственной власти субъектов Российской Федерации и организаций и предоставления этих сведений общероссийским средствам массовой информации для </w:t>
      </w:r>
      <w:r>
        <w:lastRenderedPageBreak/>
        <w:t>опубликования, утвержденного Указом Президента Российской Федерации от 8 июля 2013 г. N 613 "Вопросы противодействия коррупции" (далее - Порядок).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3.11. Сведения о доходах, расходах, об имуществе и обязательствах имущественного характера размещаются в течение 14 рабочих дней со дня истечения срока, установленного для их подачи: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а) без ограничения доступа к ним третьих лиц;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 xml:space="preserve">б) в форме, утвержденной </w:t>
      </w:r>
      <w:hyperlink r:id="rId8" w:history="1">
        <w:r>
          <w:rPr>
            <w:color w:val="0000FF"/>
          </w:rPr>
          <w:t>Указом</w:t>
        </w:r>
      </w:hyperlink>
      <w:r>
        <w:t xml:space="preserve"> Главы Республики Дагестан от 14 мая 2014 г. N 113 "Вопросы противодействия коррупции", в гипертекстовом формате и (или) в виде приложенных файлов в одном или нескольких из следующих форматов: .DOC, .DOCX, .XLS, .XLSX, .RTF. При этом должна быть обеспечена возможность поиска по тексту файла и копирования фрагментов текста.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3.12. Сведения о доходах, расходах, об имуществе и обязательствах имущественного характера, сгруппированные по самостоятельным структурным подразделениям (управлениям, отделам, территориальным органам, подведомственным учреждениям государственных органов), размещаются в одном (едином) файле в виде таблицы либо в виде файлов.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 xml:space="preserve">3.13. В случае если в соответствии с </w:t>
      </w:r>
      <w:hyperlink r:id="rId9" w:history="1">
        <w:r>
          <w:rPr>
            <w:color w:val="0000FF"/>
          </w:rPr>
          <w:t>Порядком</w:t>
        </w:r>
      </w:hyperlink>
      <w:r>
        <w:t xml:space="preserve"> сведения о доходах, расходах, имуществе и обязательствах имущественного характера лица, замещающего государственную должность Республики Дагестан, служащего (работника) размещаются на сайте другого государственного органа, то на сайте государственного органа, а также подведомственной государственному органу организации, в котором служащий (работник) замещает (занимает) должность либо является его руководителем (заместителем руководителя), располагается гиперссылка, обеспечивающая доступ к подразделу "Сведения о доходах, расходах, об имуществе и обязательствах имущественного характера" соответствующего сайта, где такие сведения размещены.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3.14. Не допускается: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а) размещение на сайтах заархивированных сведений (формат .rar, .zip), сканированных документов;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б) размещение в разных форматах на сайтах сведений о доходах, расходах, об имуществе и обязательствах имущественного характера за предыдущий трехлетний период;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в) использование на сайтах форматов, требующих дополнительного распознавания;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г) установление кодов безопасности для доступа к сведениям о доходах, расходах, об имуществе и обязательствах имущественного характера;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д) запрашивание фамилии и инициалов лица, замещающего государственную должность Республики Дагестан, фамилии и инициалов, должности служащего для предоставления доступа к размещенным о нем сведениям, запрашивание любых сведений у лица, осуществляющего доступ к размещенным сведениям.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3.15. Размещенные на сайтах сведения о доходах, расходах, об имуществе и обязательствах имущественного характера, в том числе за предшествующие годы, находятся в открытом доступе и не подлежат удалению.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3.16. При представлении лицом, замещающим государственную должность Республики Дагестан, служащим уточненных сведений о доходах, об имуществе и обязательствах имущественного характера соответствующие изменения вносятся в размещенные на сайте сведения о доходах, расходах, об имуществе и обязательствах имущественного характера не позднее 14 рабочих дней после окончания срока, установленного для представления уточненных сведений.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lastRenderedPageBreak/>
        <w:t>3.17. Подраздел "Комиссия по соблюдению требований к служебному поведению и урегулированию конфликта интересов" обеспечивает доступ к информации о деятельности комиссии по соблюдению требований к служебному поведению и урегулированию конфликта интересов (далее - комиссия), в том числе содержащей: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а) состав комиссии с указанием фамилии и инициалов, занимаемой должности (для представителей научных организаций и образовательных учреждений среднего, высшего и дополнительного профессионального образования - с указанием также и места работы);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б) Положение о комиссии;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в) сведения о состоявшихся заседаниях комиссии, принятых решениях;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г) основание для проведения заседания комиссии.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 xml:space="preserve">Учитывая, что решения комиссии могут содержать персональные данные, исходя из положения </w:t>
      </w:r>
      <w:hyperlink r:id="rId10" w:history="1">
        <w:r>
          <w:rPr>
            <w:color w:val="0000FF"/>
          </w:rPr>
          <w:t>пункта 11 части 1 статьи 6</w:t>
        </w:r>
      </w:hyperlink>
      <w:r>
        <w:t xml:space="preserve"> Федерального закона от 27 июля 2006 г. N 152-ФЗ "О персональных данных", опубликование данных решений осуществляется с обезличиванием персональных данных.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3.18. Сведения о составе комиссии должны размещаться в виде приложенного файла в одном или нескольких из следующих форматов: .DOC, .DOCX, .RTF, .PDF, обеспечивающем возможность поиска и копирования фрагментов текста средствами веб-обозревателя (гипертекстовый формат).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3.19. Подраздел "Обратная связь для сообщений о фактах коррупции" содержит гиперссылку, перекрестную с гиперссылкой, при переходе по которой осуществляется доступ к подразделу "Обращения граждан", включающему в том числе информацию о: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а) нормативном правовом акте, регламентирующем порядок рассмотрения обращений граждан;</w:t>
      </w:r>
    </w:p>
    <w:p w:rsidR="004F74D3" w:rsidRDefault="004F74D3">
      <w:pPr>
        <w:pStyle w:val="ConsPlusNormal"/>
        <w:spacing w:before="220"/>
        <w:ind w:firstLine="540"/>
        <w:jc w:val="both"/>
      </w:pPr>
      <w:r>
        <w:t>б) способах для граждан и юридических лиц беспрепятственно направлять свои обращения в государственный орган (информация о работе горячей линии, телефона доверия, отправке почтовых сообщений, форма направления сообщений гражданами и организациями через сайт).</w:t>
      </w:r>
    </w:p>
    <w:p w:rsidR="004F74D3" w:rsidRDefault="004F74D3">
      <w:pPr>
        <w:pStyle w:val="ConsPlusNormal"/>
        <w:jc w:val="both"/>
      </w:pPr>
    </w:p>
    <w:p w:rsidR="004F74D3" w:rsidRDefault="004F74D3">
      <w:pPr>
        <w:pStyle w:val="ConsPlusNormal"/>
        <w:jc w:val="both"/>
      </w:pPr>
    </w:p>
    <w:p w:rsidR="004F74D3" w:rsidRDefault="004F74D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5062" w:rsidRDefault="00C15062">
      <w:bookmarkStart w:id="4" w:name="_GoBack"/>
      <w:bookmarkEnd w:id="4"/>
    </w:p>
    <w:sectPr w:rsidR="00C15062" w:rsidSect="00E556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74D3"/>
    <w:rsid w:val="004F74D3"/>
    <w:rsid w:val="00C1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E3023E-BB33-410D-8CBF-B45CB818A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F74D3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346&amp;n=26417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60651&amp;dst=100051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346&amp;n=26413&amp;dst=100023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346&amp;n=15969&amp;dst=100106" TargetMode="External"/><Relationship Id="rId10" Type="http://schemas.openxmlformats.org/officeDocument/2006/relationships/hyperlink" Target="https://login.consultant.ru/link/?req=doc&amp;base=LAW&amp;n=439201&amp;dst=10026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460651&amp;dst=10004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2931</Words>
  <Characters>16709</Characters>
  <Application>Microsoft Office Word</Application>
  <DocSecurity>0</DocSecurity>
  <Lines>139</Lines>
  <Paragraphs>39</Paragraphs>
  <ScaleCrop>false</ScaleCrop>
  <Company/>
  <LinksUpToDate>false</LinksUpToDate>
  <CharactersWithSpaces>19601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Алибек Гасанов</dc:creator>
  <cp:keywords/>
  <dc:description/>
  <cp:lastModifiedBy>Алибек Гасанов</cp:lastModifiedBy>
  <cp:revision>1</cp:revision>
  <dcterms:created xsi:type="dcterms:W3CDTF">2024-04-20T10:43:00Z</dcterms:created>
  <dcterms:modified xsi:type="dcterms:W3CDTF">2024-04-20T10:44:00Z</dcterms:modified>
</cp:coreProperties>
</file>